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68" w:rsidRDefault="00543768">
      <w:pPr>
        <w:rPr>
          <w:rFonts w:ascii="Georgia" w:hAnsi="Georgia" w:cs="Helvetica"/>
          <w:b/>
          <w:bCs/>
          <w:color w:val="333333"/>
          <w:kern w:val="36"/>
          <w:sz w:val="33"/>
          <w:szCs w:val="33"/>
        </w:rPr>
      </w:pPr>
      <w:r>
        <w:rPr>
          <w:rFonts w:ascii="Georgia" w:hAnsi="Georgia" w:cs="Helvetica"/>
          <w:b/>
          <w:bCs/>
          <w:color w:val="333333"/>
          <w:kern w:val="36"/>
          <w:sz w:val="33"/>
          <w:szCs w:val="33"/>
        </w:rPr>
        <w:t xml:space="preserve">October Term 2016 </w:t>
      </w:r>
    </w:p>
    <w:p w:rsidR="00543768" w:rsidRDefault="00543768">
      <w:pPr>
        <w:rPr>
          <w:rFonts w:ascii="Helvetica" w:hAnsi="Helvetica" w:cs="Helvetica"/>
          <w:color w:val="333333"/>
          <w:sz w:val="18"/>
          <w:szCs w:val="18"/>
        </w:rPr>
      </w:pPr>
      <w:r>
        <w:rPr>
          <w:rFonts w:ascii="Georgia" w:hAnsi="Georgia" w:cs="Helvetica"/>
          <w:b/>
          <w:bCs/>
          <w:color w:val="333333"/>
          <w:sz w:val="23"/>
          <w:szCs w:val="23"/>
        </w:rPr>
        <w:t>October Sitting</w:t>
      </w:r>
    </w:p>
    <w:p w:rsidR="00114D38" w:rsidRDefault="005E01F4">
      <w:pPr>
        <w:rPr>
          <w:rFonts w:ascii="Helvetica" w:hAnsi="Helvetica" w:cs="Helvetica"/>
          <w:color w:val="333333"/>
          <w:sz w:val="18"/>
          <w:szCs w:val="18"/>
        </w:rPr>
      </w:pPr>
      <w:hyperlink r:id="rId4" w:history="1">
        <w:r w:rsidR="00543768">
          <w:rPr>
            <w:rFonts w:ascii="Helvetica" w:hAnsi="Helvetica" w:cs="Helvetica"/>
            <w:b/>
            <w:bCs/>
            <w:color w:val="006699"/>
            <w:sz w:val="18"/>
            <w:szCs w:val="18"/>
            <w:u w:val="single"/>
          </w:rPr>
          <w:t>Bravo-Fernandez v. U.S.</w:t>
        </w:r>
      </w:hyperlink>
      <w:r w:rsidR="00543768">
        <w:rPr>
          <w:rFonts w:ascii="Helvetica" w:hAnsi="Helvetica" w:cs="Helvetica"/>
          <w:color w:val="333333"/>
          <w:sz w:val="18"/>
          <w:szCs w:val="18"/>
        </w:rPr>
        <w:t xml:space="preserve">, </w:t>
      </w:r>
      <w:r w:rsidR="00543768">
        <w:rPr>
          <w:rStyle w:val="case-info-item"/>
          <w:rFonts w:ascii="Helvetica" w:hAnsi="Helvetica" w:cs="Helvetica"/>
          <w:color w:val="333333"/>
          <w:sz w:val="18"/>
          <w:szCs w:val="18"/>
        </w:rPr>
        <w:t xml:space="preserve">No. </w:t>
      </w:r>
      <w:hyperlink r:id="rId5" w:history="1">
        <w:r w:rsidR="00543768">
          <w:rPr>
            <w:rStyle w:val="case-info-item"/>
            <w:rFonts w:ascii="Helvetica" w:hAnsi="Helvetica" w:cs="Helvetica"/>
            <w:color w:val="006699"/>
            <w:sz w:val="18"/>
            <w:szCs w:val="18"/>
            <w:u w:val="single"/>
          </w:rPr>
          <w:t>15-537</w:t>
        </w:r>
      </w:hyperlink>
      <w:r w:rsidR="00543768">
        <w:rPr>
          <w:rFonts w:ascii="Helvetica" w:hAnsi="Helvetica" w:cs="Helvetica"/>
          <w:color w:val="333333"/>
          <w:sz w:val="18"/>
          <w:szCs w:val="18"/>
        </w:rPr>
        <w:t xml:space="preserve"> [</w:t>
      </w:r>
      <w:proofErr w:type="spellStart"/>
      <w:r w:rsidR="00543768">
        <w:rPr>
          <w:rFonts w:ascii="Helvetica" w:hAnsi="Helvetica" w:cs="Helvetica"/>
          <w:color w:val="333333"/>
          <w:sz w:val="18"/>
          <w:szCs w:val="18"/>
        </w:rPr>
        <w:t>Arg</w:t>
      </w:r>
      <w:proofErr w:type="spellEnd"/>
      <w:r w:rsidR="00543768">
        <w:rPr>
          <w:rFonts w:ascii="Helvetica" w:hAnsi="Helvetica" w:cs="Helvetica"/>
          <w:color w:val="333333"/>
          <w:sz w:val="18"/>
          <w:szCs w:val="18"/>
        </w:rPr>
        <w:t xml:space="preserve">: </w:t>
      </w:r>
      <w:r w:rsidR="00543768">
        <w:rPr>
          <w:rStyle w:val="case-info-item"/>
          <w:rFonts w:ascii="Helvetica" w:hAnsi="Helvetica" w:cs="Helvetica"/>
          <w:color w:val="333333"/>
          <w:sz w:val="18"/>
          <w:szCs w:val="18"/>
        </w:rPr>
        <w:t>10.4.2016</w:t>
      </w:r>
      <w:hyperlink r:id="rId6" w:history="1">
        <w:r w:rsidR="00543768">
          <w:rPr>
            <w:rStyle w:val="pdf-right1"/>
            <w:rFonts w:ascii="Helvetica" w:hAnsi="Helvetica" w:cs="Helvetica"/>
            <w:color w:val="006699"/>
            <w:sz w:val="18"/>
            <w:szCs w:val="18"/>
            <w:u w:val="single"/>
          </w:rPr>
          <w:t xml:space="preserve"> Trans.</w:t>
        </w:r>
      </w:hyperlink>
      <w:r w:rsidR="00543768">
        <w:rPr>
          <w:rStyle w:val="case-info-item"/>
          <w:rFonts w:ascii="Helvetica" w:hAnsi="Helvetica" w:cs="Helvetica"/>
          <w:color w:val="333333"/>
          <w:sz w:val="18"/>
          <w:szCs w:val="18"/>
        </w:rPr>
        <w:t>/</w:t>
      </w:r>
      <w:hyperlink r:id="rId7" w:history="1">
        <w:r w:rsidR="00543768">
          <w:rPr>
            <w:rStyle w:val="audio-right"/>
            <w:rFonts w:ascii="Helvetica" w:hAnsi="Helvetica" w:cs="Helvetica"/>
            <w:color w:val="006699"/>
            <w:sz w:val="18"/>
            <w:szCs w:val="18"/>
            <w:u w:val="single"/>
          </w:rPr>
          <w:t>Aud.</w:t>
        </w:r>
      </w:hyperlink>
      <w:r w:rsidR="00543768">
        <w:rPr>
          <w:rFonts w:ascii="Helvetica" w:hAnsi="Helvetica" w:cs="Helvetica"/>
          <w:color w:val="333333"/>
          <w:sz w:val="18"/>
          <w:szCs w:val="18"/>
        </w:rPr>
        <w:t xml:space="preserve">; Decided </w:t>
      </w:r>
      <w:hyperlink r:id="rId8" w:history="1">
        <w:r w:rsidR="00543768">
          <w:rPr>
            <w:rStyle w:val="case-info-item"/>
            <w:rFonts w:ascii="Helvetica" w:hAnsi="Helvetica" w:cs="Helvetica"/>
            <w:color w:val="006699"/>
            <w:sz w:val="18"/>
            <w:szCs w:val="18"/>
            <w:u w:val="single"/>
          </w:rPr>
          <w:t>11.29.2016</w:t>
        </w:r>
      </w:hyperlink>
      <w:r w:rsidR="00543768">
        <w:rPr>
          <w:rFonts w:ascii="Helvetica" w:hAnsi="Helvetica" w:cs="Helvetica"/>
          <w:color w:val="333333"/>
          <w:sz w:val="18"/>
          <w:szCs w:val="18"/>
        </w:rPr>
        <w:t>]</w:t>
      </w:r>
      <w:r w:rsidR="00543768">
        <w:rPr>
          <w:rFonts w:ascii="Helvetica" w:hAnsi="Helvetica" w:cs="Helvetica"/>
          <w:color w:val="333333"/>
          <w:sz w:val="18"/>
          <w:szCs w:val="18"/>
        </w:rPr>
        <w:br/>
      </w:r>
      <w:r w:rsidR="00543768">
        <w:rPr>
          <w:rFonts w:ascii="Helvetica" w:hAnsi="Helvetica" w:cs="Helvetica"/>
          <w:color w:val="333333"/>
          <w:sz w:val="18"/>
          <w:szCs w:val="18"/>
        </w:rPr>
        <w:br/>
        <w:t xml:space="preserve">Holding: The issue-preclusion component of the </w:t>
      </w:r>
      <w:r w:rsidR="00543768" w:rsidRPr="005E01F4">
        <w:rPr>
          <w:rFonts w:ascii="Helvetica" w:hAnsi="Helvetica" w:cs="Helvetica"/>
          <w:b/>
          <w:color w:val="333333"/>
          <w:sz w:val="18"/>
          <w:szCs w:val="18"/>
        </w:rPr>
        <w:t>double jeopardy</w:t>
      </w:r>
      <w:r w:rsidR="00543768">
        <w:rPr>
          <w:rFonts w:ascii="Helvetica" w:hAnsi="Helvetica" w:cs="Helvetica"/>
          <w:color w:val="333333"/>
          <w:sz w:val="18"/>
          <w:szCs w:val="18"/>
        </w:rPr>
        <w:t xml:space="preserve"> clause, which bars a second contest of an issue of fact or law raised and necessarily resolved by a prior judgment, does not bar the government from retrying defendants after a jury has returned irreconcilably inconsistent verdicts of conviction and acquittal and the convictions are later vacated for legal error unrelated to the inconsistency.</w:t>
      </w:r>
    </w:p>
    <w:p w:rsidR="00F73289" w:rsidRDefault="00F73289">
      <w:pPr>
        <w:rPr>
          <w:rFonts w:ascii="Georgia" w:hAnsi="Georgia" w:cs="Helvetica"/>
          <w:b/>
          <w:bCs/>
          <w:color w:val="333333"/>
          <w:sz w:val="23"/>
          <w:szCs w:val="23"/>
        </w:rPr>
      </w:pPr>
      <w:r>
        <w:rPr>
          <w:rFonts w:ascii="Georgia" w:hAnsi="Georgia" w:cs="Helvetica"/>
          <w:b/>
          <w:bCs/>
          <w:color w:val="333333"/>
          <w:sz w:val="23"/>
          <w:szCs w:val="23"/>
        </w:rPr>
        <w:t>Decided Without Argument</w:t>
      </w:r>
    </w:p>
    <w:p w:rsidR="00F73289" w:rsidRDefault="005E01F4">
      <w:pPr>
        <w:rPr>
          <w:rFonts w:ascii="Helvetica" w:hAnsi="Helvetica" w:cs="Helvetica"/>
          <w:color w:val="333333"/>
          <w:sz w:val="18"/>
          <w:szCs w:val="18"/>
        </w:rPr>
      </w:pPr>
      <w:hyperlink r:id="rId9" w:history="1">
        <w:proofErr w:type="spellStart"/>
        <w:r w:rsidR="00F73289">
          <w:rPr>
            <w:rFonts w:ascii="Helvetica" w:hAnsi="Helvetica" w:cs="Helvetica"/>
            <w:b/>
            <w:bCs/>
            <w:color w:val="006699"/>
            <w:sz w:val="18"/>
            <w:szCs w:val="18"/>
            <w:u w:val="single"/>
          </w:rPr>
          <w:t>Bosse</w:t>
        </w:r>
        <w:proofErr w:type="spellEnd"/>
        <w:r w:rsidR="00F73289">
          <w:rPr>
            <w:rFonts w:ascii="Helvetica" w:hAnsi="Helvetica" w:cs="Helvetica"/>
            <w:b/>
            <w:bCs/>
            <w:color w:val="006699"/>
            <w:sz w:val="18"/>
            <w:szCs w:val="18"/>
            <w:u w:val="single"/>
          </w:rPr>
          <w:t xml:space="preserve"> v. Oklahoma</w:t>
        </w:r>
      </w:hyperlink>
      <w:r w:rsidR="00F73289">
        <w:rPr>
          <w:rFonts w:ascii="Helvetica" w:hAnsi="Helvetica" w:cs="Helvetica"/>
          <w:color w:val="333333"/>
          <w:sz w:val="18"/>
          <w:szCs w:val="18"/>
        </w:rPr>
        <w:t xml:space="preserve">, </w:t>
      </w:r>
      <w:r w:rsidR="00F73289">
        <w:rPr>
          <w:rStyle w:val="case-info-item"/>
          <w:rFonts w:ascii="Helvetica" w:hAnsi="Helvetica" w:cs="Helvetica"/>
          <w:color w:val="333333"/>
          <w:sz w:val="18"/>
          <w:szCs w:val="18"/>
        </w:rPr>
        <w:t xml:space="preserve">No. </w:t>
      </w:r>
      <w:hyperlink r:id="rId10" w:history="1">
        <w:r w:rsidR="00F73289">
          <w:rPr>
            <w:rStyle w:val="case-info-item"/>
            <w:rFonts w:ascii="Helvetica" w:hAnsi="Helvetica" w:cs="Helvetica"/>
            <w:color w:val="006699"/>
            <w:sz w:val="18"/>
            <w:szCs w:val="18"/>
            <w:u w:val="single"/>
          </w:rPr>
          <w:t>15-9173</w:t>
        </w:r>
      </w:hyperlink>
      <w:r w:rsidR="00F73289">
        <w:rPr>
          <w:rFonts w:ascii="Helvetica" w:hAnsi="Helvetica" w:cs="Helvetica"/>
          <w:color w:val="333333"/>
          <w:sz w:val="18"/>
          <w:szCs w:val="18"/>
        </w:rPr>
        <w:t xml:space="preserve"> [ Decided </w:t>
      </w:r>
      <w:hyperlink r:id="rId11" w:history="1">
        <w:r w:rsidR="00F73289">
          <w:rPr>
            <w:rStyle w:val="case-info-item"/>
            <w:rFonts w:ascii="Helvetica" w:hAnsi="Helvetica" w:cs="Helvetica"/>
            <w:color w:val="006699"/>
            <w:sz w:val="18"/>
            <w:szCs w:val="18"/>
            <w:u w:val="single"/>
          </w:rPr>
          <w:t>10.11.2016</w:t>
        </w:r>
      </w:hyperlink>
      <w:r w:rsidR="00F73289">
        <w:rPr>
          <w:rFonts w:ascii="Helvetica" w:hAnsi="Helvetica" w:cs="Helvetica"/>
          <w:color w:val="333333"/>
          <w:sz w:val="18"/>
          <w:szCs w:val="18"/>
        </w:rPr>
        <w:t>]</w:t>
      </w:r>
    </w:p>
    <w:p w:rsidR="00F73289" w:rsidRDefault="00F73289">
      <w:pPr>
        <w:rPr>
          <w:rFonts w:ascii="Helvetica" w:hAnsi="Helvetica" w:cs="Helvetica"/>
          <w:color w:val="333333"/>
          <w:sz w:val="18"/>
          <w:szCs w:val="18"/>
        </w:rPr>
      </w:pPr>
      <w:r w:rsidRPr="00F73289">
        <w:rPr>
          <w:rFonts w:ascii="Helvetica" w:hAnsi="Helvetica" w:cs="Helvetica"/>
          <w:color w:val="333333"/>
          <w:sz w:val="18"/>
          <w:szCs w:val="18"/>
        </w:rPr>
        <w:t>In Booth v. Maryland, 482 U. S. 496 (1987), this Court held that “the Eighth Amendment prohibits a capital sentencing jury from considering victim impact evidence” that does not “relate directly to the circumstances of the crime.” Id., at 501–502, 507, n. 10. Four years later, in Payne v. Tennessee, 501 U. S. 808 (1991), the Court granted certiorari to reconsider that ban on “‘victim impact’ evidence relating to the personal characteristics of the victim and the emotional impact of the crimes on the victim’s family.”  Id., at 817.  The Court held that Booth was wrong to conclude that the Eighth Amendment required such a ban. Payne, 501 U. S. at 827.  That holding was expressly “limited to” this particular type of victim impact testimony.  Id., at 830, n. 2. “Booth also held that the admission of a victim’s family members’ characterizations and opinions about the crime, the defendant, and the appropriate sentence violates the Eighth Amendment,” but no such evidence was presented in Payne, so the Court had no occasion to reconsider that aspect of the decision. Ibid</w:t>
      </w:r>
    </w:p>
    <w:p w:rsidR="00F73289" w:rsidRDefault="00F73289">
      <w:pPr>
        <w:rPr>
          <w:rFonts w:ascii="Helvetica" w:hAnsi="Helvetica" w:cs="Helvetica"/>
          <w:color w:val="333333"/>
          <w:sz w:val="18"/>
          <w:szCs w:val="18"/>
        </w:rPr>
      </w:pPr>
      <w:r w:rsidRPr="00F73289">
        <w:rPr>
          <w:rFonts w:ascii="Helvetica" w:hAnsi="Helvetica" w:cs="Helvetica"/>
          <w:color w:val="333333"/>
          <w:sz w:val="18"/>
          <w:szCs w:val="18"/>
        </w:rPr>
        <w:t xml:space="preserve">The Oklahoma Court of Criminal Appeals remains bound by </w:t>
      </w:r>
      <w:r w:rsidRPr="005E01F4">
        <w:rPr>
          <w:rFonts w:ascii="Helvetica" w:hAnsi="Helvetica" w:cs="Helvetica"/>
          <w:b/>
          <w:color w:val="333333"/>
          <w:sz w:val="18"/>
          <w:szCs w:val="18"/>
        </w:rPr>
        <w:t>Booth’s prohibition on characterizations and opinions from a victim’s family members about the crime, the defendant, and the appropriate sentence unless this Court reconsiders that ban.</w:t>
      </w:r>
      <w:r w:rsidRPr="00F73289">
        <w:rPr>
          <w:rFonts w:ascii="Helvetica" w:hAnsi="Helvetica" w:cs="Helvetica"/>
          <w:color w:val="333333"/>
          <w:sz w:val="18"/>
          <w:szCs w:val="18"/>
        </w:rPr>
        <w:t xml:space="preserve">  The state court erred in concluding otherwise.</w:t>
      </w:r>
    </w:p>
    <w:p w:rsidR="00543768" w:rsidRDefault="005E01F4">
      <w:pPr>
        <w:rPr>
          <w:rFonts w:ascii="Helvetica" w:hAnsi="Helvetica" w:cs="Helvetica"/>
          <w:color w:val="333333"/>
          <w:sz w:val="18"/>
          <w:szCs w:val="18"/>
        </w:rPr>
      </w:pPr>
      <w:hyperlink r:id="rId12" w:history="1">
        <w:r w:rsidR="00543768">
          <w:rPr>
            <w:rFonts w:ascii="Helvetica" w:hAnsi="Helvetica" w:cs="Helvetica"/>
            <w:b/>
            <w:bCs/>
            <w:color w:val="006699"/>
            <w:sz w:val="18"/>
            <w:szCs w:val="18"/>
            <w:u w:val="single"/>
          </w:rPr>
          <w:t xml:space="preserve">White v. </w:t>
        </w:r>
        <w:proofErr w:type="spellStart"/>
        <w:r w:rsidR="00543768">
          <w:rPr>
            <w:rFonts w:ascii="Helvetica" w:hAnsi="Helvetica" w:cs="Helvetica"/>
            <w:b/>
            <w:bCs/>
            <w:color w:val="006699"/>
            <w:sz w:val="18"/>
            <w:szCs w:val="18"/>
            <w:u w:val="single"/>
          </w:rPr>
          <w:t>Pauly</w:t>
        </w:r>
        <w:proofErr w:type="spellEnd"/>
      </w:hyperlink>
      <w:r w:rsidR="00543768">
        <w:rPr>
          <w:rFonts w:ascii="Helvetica" w:hAnsi="Helvetica" w:cs="Helvetica"/>
          <w:color w:val="333333"/>
          <w:sz w:val="18"/>
          <w:szCs w:val="18"/>
        </w:rPr>
        <w:t xml:space="preserve">, </w:t>
      </w:r>
      <w:r w:rsidR="00543768">
        <w:rPr>
          <w:rStyle w:val="case-info-item"/>
          <w:rFonts w:ascii="Helvetica" w:hAnsi="Helvetica" w:cs="Helvetica"/>
          <w:color w:val="333333"/>
          <w:sz w:val="18"/>
          <w:szCs w:val="18"/>
        </w:rPr>
        <w:t xml:space="preserve">No. </w:t>
      </w:r>
      <w:hyperlink r:id="rId13" w:history="1">
        <w:r w:rsidR="00543768">
          <w:rPr>
            <w:rStyle w:val="case-info-item"/>
            <w:rFonts w:ascii="Helvetica" w:hAnsi="Helvetica" w:cs="Helvetica"/>
            <w:color w:val="006699"/>
            <w:sz w:val="18"/>
            <w:szCs w:val="18"/>
            <w:u w:val="single"/>
          </w:rPr>
          <w:t>16-67</w:t>
        </w:r>
      </w:hyperlink>
      <w:r w:rsidR="00543768">
        <w:rPr>
          <w:rFonts w:ascii="Helvetica" w:hAnsi="Helvetica" w:cs="Helvetica"/>
          <w:color w:val="333333"/>
          <w:sz w:val="18"/>
          <w:szCs w:val="18"/>
        </w:rPr>
        <w:t xml:space="preserve"> [ Decided </w:t>
      </w:r>
      <w:hyperlink r:id="rId14" w:history="1">
        <w:r w:rsidR="00543768">
          <w:rPr>
            <w:rStyle w:val="case-info-item"/>
            <w:rFonts w:ascii="Helvetica" w:hAnsi="Helvetica" w:cs="Helvetica"/>
            <w:color w:val="006699"/>
            <w:sz w:val="18"/>
            <w:szCs w:val="18"/>
            <w:u w:val="single"/>
          </w:rPr>
          <w:t>1.9.2017</w:t>
        </w:r>
      </w:hyperlink>
      <w:r w:rsidR="00543768">
        <w:rPr>
          <w:rFonts w:ascii="Helvetica" w:hAnsi="Helvetica" w:cs="Helvetica"/>
          <w:color w:val="333333"/>
          <w:sz w:val="18"/>
          <w:szCs w:val="18"/>
        </w:rPr>
        <w:t>]</w:t>
      </w:r>
    </w:p>
    <w:p w:rsidR="00543768" w:rsidRDefault="00543768">
      <w:pPr>
        <w:rPr>
          <w:rFonts w:ascii="Helvetica" w:hAnsi="Helvetica" w:cs="Helvetica"/>
          <w:color w:val="333333"/>
          <w:sz w:val="18"/>
          <w:szCs w:val="18"/>
        </w:rPr>
      </w:pPr>
      <w:r w:rsidRPr="00543768">
        <w:rPr>
          <w:rFonts w:ascii="Helvetica" w:hAnsi="Helvetica" w:cs="Helvetica"/>
          <w:color w:val="333333"/>
          <w:sz w:val="18"/>
          <w:szCs w:val="18"/>
        </w:rPr>
        <w:t>This case addresses the situation of an officer who— having arrived late at an ongoing police action and having witnessed shots being fired by one of several individuals in a house surrounded by other officers—shoots and kills an armed occupant of the house without first giving a warning.</w:t>
      </w:r>
      <w:r w:rsidRPr="00543768">
        <w:t xml:space="preserve"> </w:t>
      </w:r>
      <w:r w:rsidRPr="00543768">
        <w:rPr>
          <w:rFonts w:ascii="Helvetica" w:hAnsi="Helvetica" w:cs="Helvetica"/>
          <w:color w:val="333333"/>
          <w:sz w:val="18"/>
          <w:szCs w:val="18"/>
        </w:rPr>
        <w:t>One of the claims was that the officers were liable under Rev. Stat. §1979, 42 U. S. C</w:t>
      </w:r>
      <w:r w:rsidRPr="005E01F4">
        <w:rPr>
          <w:rFonts w:ascii="Helvetica" w:hAnsi="Helvetica" w:cs="Helvetica"/>
          <w:b/>
          <w:color w:val="333333"/>
          <w:sz w:val="18"/>
          <w:szCs w:val="18"/>
        </w:rPr>
        <w:t>. §1983, for violating Samuel’s Fourth Amendment right to be free from excessive force</w:t>
      </w:r>
      <w:r w:rsidRPr="00543768">
        <w:rPr>
          <w:rFonts w:ascii="Helvetica" w:hAnsi="Helvetica" w:cs="Helvetica"/>
          <w:color w:val="333333"/>
          <w:sz w:val="18"/>
          <w:szCs w:val="18"/>
        </w:rPr>
        <w:t>.</w:t>
      </w:r>
      <w:r>
        <w:rPr>
          <w:rFonts w:ascii="Helvetica" w:hAnsi="Helvetica" w:cs="Helvetica"/>
          <w:color w:val="333333"/>
          <w:sz w:val="18"/>
          <w:szCs w:val="18"/>
        </w:rPr>
        <w:t xml:space="preserve"> </w:t>
      </w:r>
      <w:r w:rsidRPr="00543768">
        <w:rPr>
          <w:rFonts w:ascii="Helvetica" w:hAnsi="Helvetica" w:cs="Helvetica"/>
          <w:color w:val="333333"/>
          <w:sz w:val="18"/>
          <w:szCs w:val="18"/>
        </w:rPr>
        <w:t xml:space="preserve">The </w:t>
      </w:r>
      <w:r w:rsidRPr="005E01F4">
        <w:rPr>
          <w:rFonts w:ascii="Helvetica" w:hAnsi="Helvetica" w:cs="Helvetica"/>
          <w:b/>
          <w:color w:val="333333"/>
          <w:sz w:val="18"/>
          <w:szCs w:val="18"/>
        </w:rPr>
        <w:t>District Court denied qualified immunity</w:t>
      </w:r>
      <w:r w:rsidRPr="00543768">
        <w:rPr>
          <w:rFonts w:ascii="Helvetica" w:hAnsi="Helvetica" w:cs="Helvetica"/>
          <w:color w:val="333333"/>
          <w:sz w:val="18"/>
          <w:szCs w:val="18"/>
        </w:rPr>
        <w:t>.  A divided panel of the Court of Appeals for the Tenth Circuit affirmed.</w:t>
      </w:r>
      <w:r w:rsidR="00F73289">
        <w:rPr>
          <w:rFonts w:ascii="Helvetica" w:hAnsi="Helvetica" w:cs="Helvetica"/>
          <w:color w:val="333333"/>
          <w:sz w:val="18"/>
          <w:szCs w:val="18"/>
        </w:rPr>
        <w:t xml:space="preserve"> </w:t>
      </w:r>
      <w:r w:rsidR="00F73289" w:rsidRPr="00F73289">
        <w:rPr>
          <w:rFonts w:ascii="Helvetica" w:hAnsi="Helvetica" w:cs="Helvetica"/>
          <w:color w:val="333333"/>
          <w:sz w:val="18"/>
          <w:szCs w:val="18"/>
        </w:rPr>
        <w:t xml:space="preserve">The officers petitioned for certiorari. The petition is now granted, and </w:t>
      </w:r>
      <w:r w:rsidR="00F73289" w:rsidRPr="005E01F4">
        <w:rPr>
          <w:rFonts w:ascii="Helvetica" w:hAnsi="Helvetica" w:cs="Helvetica"/>
          <w:b/>
          <w:color w:val="333333"/>
          <w:sz w:val="18"/>
          <w:szCs w:val="18"/>
        </w:rPr>
        <w:t>the judgment is vacated: Officer White did not violate clearly established law on the record described by the Court of Appeals panel</w:t>
      </w:r>
      <w:r w:rsidR="00F73289" w:rsidRPr="00F73289">
        <w:rPr>
          <w:rFonts w:ascii="Helvetica" w:hAnsi="Helvetica" w:cs="Helvetica"/>
          <w:color w:val="333333"/>
          <w:sz w:val="18"/>
          <w:szCs w:val="18"/>
        </w:rPr>
        <w:t>.</w:t>
      </w:r>
    </w:p>
    <w:p w:rsidR="00543768" w:rsidRDefault="00543768">
      <w:bookmarkStart w:id="0" w:name="_GoBack"/>
      <w:bookmarkEnd w:id="0"/>
    </w:p>
    <w:sectPr w:rsidR="0054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68"/>
    <w:rsid w:val="00114D38"/>
    <w:rsid w:val="00543768"/>
    <w:rsid w:val="005E01F4"/>
    <w:rsid w:val="007B4E74"/>
    <w:rsid w:val="00B000C8"/>
    <w:rsid w:val="00C316A2"/>
    <w:rsid w:val="00F7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C37FB-4A79-4BA5-8E72-ADC3D27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info-item">
    <w:name w:val="case-info-item"/>
    <w:basedOn w:val="DefaultParagraphFont"/>
    <w:rsid w:val="00543768"/>
  </w:style>
  <w:style w:type="character" w:customStyle="1" w:styleId="pdf-right1">
    <w:name w:val="pdf-right1"/>
    <w:basedOn w:val="DefaultParagraphFont"/>
    <w:rsid w:val="00543768"/>
    <w:rPr>
      <w:shd w:val="clear" w:color="auto" w:fill="FFFFFF"/>
    </w:rPr>
  </w:style>
  <w:style w:type="character" w:customStyle="1" w:styleId="audio-right">
    <w:name w:val="audio-right"/>
    <w:basedOn w:val="DefaultParagraphFont"/>
    <w:rsid w:val="0054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ecourt.gov/opinions/16pdf/15-537_ap6b.pdf" TargetMode="External"/><Relationship Id="rId13" Type="http://schemas.openxmlformats.org/officeDocument/2006/relationships/hyperlink" Target="http://www.supremecourt.gov/Search.aspx?FileName=/docketfiles/16-67.htm" TargetMode="External"/><Relationship Id="rId3" Type="http://schemas.openxmlformats.org/officeDocument/2006/relationships/webSettings" Target="webSettings.xml"/><Relationship Id="rId7" Type="http://schemas.openxmlformats.org/officeDocument/2006/relationships/hyperlink" Target="https://www.oyez.org/cases/2016/15-537" TargetMode="External"/><Relationship Id="rId12" Type="http://schemas.openxmlformats.org/officeDocument/2006/relationships/hyperlink" Target="http://www.scotusblog.com/case-files/cases/white-v-paul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upremecourt.gov/oral_arguments/argument_transcripts/2016/15-537_ljgm.pdf" TargetMode="External"/><Relationship Id="rId11" Type="http://schemas.openxmlformats.org/officeDocument/2006/relationships/hyperlink" Target="https://www.supremecourt.gov/opinions/16pdf/15-9173_q86b.pdf" TargetMode="External"/><Relationship Id="rId5" Type="http://schemas.openxmlformats.org/officeDocument/2006/relationships/hyperlink" Target="http://www.supremecourt.gov/Search.aspx?FileName=/docketfiles/15-537.htm" TargetMode="External"/><Relationship Id="rId15" Type="http://schemas.openxmlformats.org/officeDocument/2006/relationships/fontTable" Target="fontTable.xml"/><Relationship Id="rId10" Type="http://schemas.openxmlformats.org/officeDocument/2006/relationships/hyperlink" Target="http://www.supremecourt.gov/Search.aspx?FileName=/docketfiles/15-9173.htm" TargetMode="External"/><Relationship Id="rId4" Type="http://schemas.openxmlformats.org/officeDocument/2006/relationships/hyperlink" Target="http://www.scotusblog.com/case-files/cases/bravo-fernandez-v-united-states/" TargetMode="External"/><Relationship Id="rId9" Type="http://schemas.openxmlformats.org/officeDocument/2006/relationships/hyperlink" Target="http://www.scotusblog.com/case-files/cases/bosse-v-oklahoma/" TargetMode="External"/><Relationship Id="rId14" Type="http://schemas.openxmlformats.org/officeDocument/2006/relationships/hyperlink" Target="https://www.supremecourt.gov/opinions/16pdf/16-67_2c8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Murray</dc:creator>
  <cp:keywords/>
  <dc:description/>
  <cp:lastModifiedBy>Bernie Murray</cp:lastModifiedBy>
  <cp:revision>2</cp:revision>
  <dcterms:created xsi:type="dcterms:W3CDTF">2017-03-03T19:28:00Z</dcterms:created>
  <dcterms:modified xsi:type="dcterms:W3CDTF">2017-03-03T21:25:00Z</dcterms:modified>
</cp:coreProperties>
</file>